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C9C68" w14:textId="765AAB6D" w:rsidR="00D05856" w:rsidRDefault="00AC7A30" w:rsidP="00AC7A30">
      <w:pPr>
        <w:ind w:left="309" w:right="168"/>
        <w:jc w:val="center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fr-FR" w:eastAsia="en-GB"/>
        </w:rPr>
      </w:pPr>
      <w:r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fr-FR" w:eastAsia="en-GB"/>
        </w:rPr>
        <w:t xml:space="preserve">                                                                                                                         </w:t>
      </w:r>
      <w:r w:rsidRPr="00AC7A30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fr-FR" w:eastAsia="en-GB"/>
        </w:rPr>
        <w:drawing>
          <wp:inline distT="0" distB="0" distL="0" distR="0" wp14:anchorId="1FF7B252" wp14:editId="1FDF0986">
            <wp:extent cx="1333500" cy="7715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7A30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fr-FR" w:eastAsia="en-GB"/>
        </w:rPr>
        <w:t xml:space="preserve"> </w:t>
      </w:r>
      <w:r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fr-FR" w:eastAsia="en-GB"/>
        </w:rPr>
        <w:t xml:space="preserve">                                                                                    </w:t>
      </w:r>
      <w:r w:rsidRPr="00AC7A30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fr-FR" w:eastAsia="en-GB"/>
        </w:rPr>
        <w:drawing>
          <wp:inline distT="0" distB="0" distL="0" distR="0" wp14:anchorId="3A592F7C" wp14:editId="3A337D04">
            <wp:extent cx="1152525" cy="10191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15FBF" w14:textId="77777777" w:rsidR="00D05856" w:rsidRDefault="00D05856" w:rsidP="00AC7A30">
      <w:pPr>
        <w:ind w:left="309" w:right="168"/>
        <w:jc w:val="center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fr-FR" w:eastAsia="en-GB"/>
        </w:rPr>
      </w:pPr>
    </w:p>
    <w:p w14:paraId="574903E1" w14:textId="50A9279C" w:rsidR="00F52F3D" w:rsidRPr="00F52F3D" w:rsidRDefault="00F52F3D" w:rsidP="00AC7A30">
      <w:pPr>
        <w:shd w:val="clear" w:color="auto" w:fill="E7E6E6" w:themeFill="background2"/>
        <w:ind w:left="309" w:right="168"/>
        <w:jc w:val="center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fr-FR" w:eastAsia="en-GB"/>
        </w:rPr>
      </w:pPr>
      <w:r w:rsidRPr="00F52F3D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fr-FR" w:eastAsia="en-GB"/>
        </w:rPr>
        <w:t>CONTEXTE</w:t>
      </w:r>
    </w:p>
    <w:p w14:paraId="21457ED3" w14:textId="77777777" w:rsidR="00D05856" w:rsidRPr="00F52F3D" w:rsidRDefault="00D05856" w:rsidP="00AC7A30">
      <w:pPr>
        <w:ind w:right="168"/>
        <w:jc w:val="both"/>
        <w:rPr>
          <w:rFonts w:asciiTheme="minorHAnsi" w:eastAsia="Times New Roman" w:hAnsiTheme="minorHAnsi" w:cstheme="minorHAnsi"/>
          <w:iCs/>
          <w:sz w:val="24"/>
          <w:szCs w:val="24"/>
          <w:lang w:val="fr-FR" w:eastAsia="en-GB"/>
        </w:rPr>
      </w:pPr>
    </w:p>
    <w:p w14:paraId="35DA228A" w14:textId="77777777" w:rsidR="00F52F3D" w:rsidRPr="00FD6450" w:rsidRDefault="00F52F3D" w:rsidP="00FD6450">
      <w:pPr>
        <w:spacing w:line="360" w:lineRule="auto"/>
        <w:ind w:left="309" w:right="168"/>
        <w:jc w:val="both"/>
        <w:rPr>
          <w:rFonts w:ascii="Arial Narrow" w:eastAsia="Times New Roman" w:hAnsi="Arial Narrow" w:cstheme="minorHAnsi"/>
          <w:iCs/>
          <w:color w:val="0070C0"/>
          <w:sz w:val="24"/>
          <w:szCs w:val="24"/>
          <w:lang w:val="fr-FR" w:eastAsia="en-GB"/>
        </w:rPr>
      </w:pPr>
      <w:r w:rsidRPr="00FD6450">
        <w:rPr>
          <w:rFonts w:ascii="Arial Narrow" w:eastAsia="Times New Roman" w:hAnsi="Arial Narrow" w:cstheme="minorHAnsi"/>
          <w:iCs/>
          <w:color w:val="0070C0"/>
          <w:sz w:val="24"/>
          <w:szCs w:val="24"/>
          <w:lang w:val="fr-FR" w:eastAsia="en-GB"/>
        </w:rPr>
        <w:t xml:space="preserve">En 2022, le groupe de sécurité alimentaire en RDC cible 8.8 M des personnes, bien qu’environs </w:t>
      </w:r>
    </w:p>
    <w:p w14:paraId="0C6BEB6B" w14:textId="77777777" w:rsidR="00F52F3D" w:rsidRPr="00FD6450" w:rsidRDefault="00F52F3D" w:rsidP="00FD6450">
      <w:pPr>
        <w:spacing w:line="360" w:lineRule="auto"/>
        <w:ind w:left="309" w:right="168"/>
        <w:jc w:val="both"/>
        <w:rPr>
          <w:rFonts w:ascii="Arial Narrow" w:hAnsi="Arial Narrow" w:cstheme="minorHAnsi"/>
          <w:color w:val="0070C0"/>
          <w:sz w:val="24"/>
          <w:szCs w:val="24"/>
          <w:lang w:val="fr-FR"/>
        </w:rPr>
      </w:pPr>
      <w:r w:rsidRPr="00FD6450">
        <w:rPr>
          <w:rFonts w:ascii="Arial Narrow" w:eastAsia="Times New Roman" w:hAnsi="Arial Narrow" w:cstheme="minorHAnsi"/>
          <w:iCs/>
          <w:color w:val="0070C0"/>
          <w:sz w:val="24"/>
          <w:szCs w:val="24"/>
          <w:lang w:val="fr-FR" w:eastAsia="en-GB"/>
        </w:rPr>
        <w:t>27 Millions de p</w:t>
      </w:r>
      <w:r w:rsidRPr="00FD6450">
        <w:rPr>
          <w:rFonts w:ascii="Arial Narrow" w:hAnsi="Arial Narrow" w:cstheme="minorHAnsi"/>
          <w:iCs/>
          <w:color w:val="0070C0"/>
          <w:sz w:val="24"/>
          <w:szCs w:val="24"/>
          <w:lang w:val="fr-FR"/>
        </w:rPr>
        <w:t>ersonnes touchées par l’insécurité alimentaire aigue.</w:t>
      </w:r>
      <w:r w:rsidRPr="00FD6450">
        <w:rPr>
          <w:rFonts w:ascii="Arial Narrow" w:hAnsi="Arial Narrow" w:cstheme="minorHAnsi"/>
          <w:iCs/>
          <w:color w:val="0070C0"/>
          <w:spacing w:val="1"/>
          <w:sz w:val="24"/>
          <w:szCs w:val="24"/>
          <w:lang w:val="fr-FR"/>
        </w:rPr>
        <w:t xml:space="preserve"> </w:t>
      </w:r>
      <w:r w:rsidRPr="00FD6450">
        <w:rPr>
          <w:rFonts w:ascii="Arial Narrow" w:hAnsi="Arial Narrow" w:cstheme="minorHAnsi"/>
          <w:iCs/>
          <w:color w:val="0070C0"/>
          <w:sz w:val="24"/>
          <w:szCs w:val="24"/>
          <w:lang w:val="fr-FR"/>
        </w:rPr>
        <w:t xml:space="preserve">Ceci est principalement dû </w:t>
      </w:r>
      <w:r w:rsidRPr="00FD6450">
        <w:rPr>
          <w:rFonts w:ascii="Arial Narrow" w:hAnsi="Arial Narrow" w:cstheme="minorHAnsi"/>
          <w:iCs/>
          <w:color w:val="0070C0"/>
          <w:spacing w:val="1"/>
          <w:sz w:val="24"/>
          <w:szCs w:val="24"/>
          <w:lang w:val="fr-FR"/>
        </w:rPr>
        <w:t>à</w:t>
      </w:r>
      <w:r w:rsidRPr="00FD6450">
        <w:rPr>
          <w:rFonts w:ascii="Arial Narrow" w:hAnsi="Arial Narrow" w:cstheme="minorHAnsi"/>
          <w:iCs/>
          <w:color w:val="0070C0"/>
          <w:sz w:val="24"/>
          <w:szCs w:val="24"/>
          <w:lang w:val="fr-FR"/>
        </w:rPr>
        <w:t xml:space="preserve"> la limite des fonds.</w:t>
      </w:r>
      <w:r w:rsidRPr="00FD6450">
        <w:rPr>
          <w:rFonts w:ascii="Arial Narrow" w:hAnsi="Arial Narrow" w:cstheme="minorHAnsi"/>
          <w:iCs/>
          <w:color w:val="0070C0"/>
          <w:spacing w:val="1"/>
          <w:sz w:val="24"/>
          <w:szCs w:val="24"/>
          <w:lang w:val="fr-FR"/>
        </w:rPr>
        <w:t xml:space="preserve"> </w:t>
      </w:r>
      <w:r w:rsidRPr="00FD6450">
        <w:rPr>
          <w:rFonts w:ascii="Arial Narrow" w:hAnsi="Arial Narrow" w:cstheme="minorHAnsi"/>
          <w:iCs/>
          <w:color w:val="0070C0"/>
          <w:sz w:val="24"/>
          <w:szCs w:val="24"/>
          <w:lang w:val="fr-FR"/>
        </w:rPr>
        <w:t xml:space="preserve">La stratégie est basée sur </w:t>
      </w:r>
      <w:r w:rsidRPr="00FD6450">
        <w:rPr>
          <w:rFonts w:ascii="Arial Narrow" w:hAnsi="Arial Narrow" w:cstheme="minorHAnsi"/>
          <w:iCs/>
          <w:color w:val="0070C0"/>
          <w:spacing w:val="1"/>
          <w:sz w:val="24"/>
          <w:szCs w:val="24"/>
          <w:lang w:val="fr-FR"/>
        </w:rPr>
        <w:t xml:space="preserve">trois piliers 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 xml:space="preserve">dont : </w:t>
      </w:r>
      <w:r w:rsidRPr="00FD6450">
        <w:rPr>
          <w:rFonts w:ascii="Arial Narrow" w:hAnsi="Arial Narrow" w:cstheme="minorHAnsi"/>
          <w:color w:val="0070C0"/>
          <w:spacing w:val="1"/>
          <w:sz w:val="24"/>
          <w:szCs w:val="24"/>
          <w:lang w:val="fr-FR"/>
        </w:rPr>
        <w:t>(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>i)</w:t>
      </w:r>
      <w:r w:rsidRPr="00FD6450">
        <w:rPr>
          <w:rFonts w:ascii="Arial Narrow" w:hAnsi="Arial Narrow" w:cstheme="minorHAnsi"/>
          <w:color w:val="0070C0"/>
          <w:spacing w:val="1"/>
          <w:sz w:val="24"/>
          <w:szCs w:val="24"/>
          <w:lang w:val="fr-FR"/>
        </w:rPr>
        <w:t xml:space="preserve"> 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>apport d’assistance d’urgence pour sauver les vies de plus vulnérables, (ii)</w:t>
      </w:r>
      <w:r w:rsidRPr="00FD6450">
        <w:rPr>
          <w:rFonts w:ascii="Arial Narrow" w:hAnsi="Arial Narrow" w:cstheme="minorHAnsi"/>
          <w:color w:val="0070C0"/>
          <w:spacing w:val="1"/>
          <w:sz w:val="24"/>
          <w:szCs w:val="24"/>
          <w:lang w:val="fr-FR"/>
        </w:rPr>
        <w:t xml:space="preserve"> 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>support de récupération</w:t>
      </w:r>
      <w:r w:rsidRPr="00FD6450">
        <w:rPr>
          <w:rFonts w:ascii="Arial Narrow" w:hAnsi="Arial Narrow" w:cstheme="minorHAnsi"/>
          <w:color w:val="0070C0"/>
          <w:spacing w:val="1"/>
          <w:sz w:val="24"/>
          <w:szCs w:val="24"/>
          <w:lang w:val="fr-FR"/>
        </w:rPr>
        <w:t xml:space="preserve"> 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 xml:space="preserve">et </w:t>
      </w:r>
      <w:r w:rsidRPr="00FD6450">
        <w:rPr>
          <w:rFonts w:ascii="Arial Narrow" w:hAnsi="Arial Narrow" w:cstheme="minorHAnsi"/>
          <w:color w:val="0070C0"/>
          <w:spacing w:val="1"/>
          <w:sz w:val="24"/>
          <w:szCs w:val="24"/>
          <w:lang w:val="fr-FR"/>
        </w:rPr>
        <w:t>besoins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 xml:space="preserve"> de subsistance </w:t>
      </w:r>
      <w:r w:rsidRPr="00FD6450">
        <w:rPr>
          <w:rFonts w:ascii="Arial Narrow" w:hAnsi="Arial Narrow" w:cstheme="minorHAnsi"/>
          <w:color w:val="0070C0"/>
          <w:spacing w:val="1"/>
          <w:sz w:val="24"/>
          <w:szCs w:val="24"/>
          <w:lang w:val="fr-FR"/>
        </w:rPr>
        <w:t>de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 xml:space="preserve"> ces personnes</w:t>
      </w:r>
      <w:r w:rsidRPr="00FD6450">
        <w:rPr>
          <w:rFonts w:ascii="Arial Narrow" w:hAnsi="Arial Narrow" w:cstheme="minorHAnsi"/>
          <w:color w:val="0070C0"/>
          <w:spacing w:val="1"/>
          <w:sz w:val="24"/>
          <w:szCs w:val="24"/>
          <w:lang w:val="fr-FR"/>
        </w:rPr>
        <w:t xml:space="preserve"> 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>et (iii) développement des filets de sécurité sociaux pour construire la résilience et réduire les besoins humanitaires dans le pays.</w:t>
      </w:r>
    </w:p>
    <w:p w14:paraId="23330ED6" w14:textId="77777777" w:rsidR="00F52F3D" w:rsidRPr="00FD6450" w:rsidRDefault="00F52F3D" w:rsidP="00FD6450">
      <w:pPr>
        <w:spacing w:line="360" w:lineRule="auto"/>
        <w:ind w:left="309" w:right="168"/>
        <w:jc w:val="both"/>
        <w:rPr>
          <w:rFonts w:ascii="Arial Narrow" w:eastAsia="Arial" w:hAnsi="Arial Narrow" w:cstheme="minorHAnsi"/>
          <w:color w:val="0070C0"/>
          <w:sz w:val="24"/>
          <w:szCs w:val="24"/>
          <w:lang w:val="fr-FR"/>
        </w:rPr>
      </w:pP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>Analyse de l’IPC 20</w:t>
      </w:r>
      <w:r w:rsidRPr="00FD6450">
        <w:rPr>
          <w:rFonts w:ascii="Arial Narrow" w:hAnsi="Arial Narrow" w:cstheme="minorHAnsi"/>
          <w:color w:val="0070C0"/>
          <w:sz w:val="24"/>
          <w:szCs w:val="24"/>
          <w:vertAlign w:val="superscript"/>
          <w:lang w:val="fr-FR"/>
        </w:rPr>
        <w:t>ème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 xml:space="preserve"> cycle, émise en juillet 2021 et couvrant la période allant de Septembre</w:t>
      </w:r>
      <w:r w:rsidRPr="00FD6450">
        <w:rPr>
          <w:rFonts w:ascii="Arial Narrow" w:hAnsi="Arial Narrow" w:cstheme="minorHAnsi"/>
          <w:color w:val="0070C0"/>
          <w:spacing w:val="1"/>
          <w:sz w:val="24"/>
          <w:szCs w:val="24"/>
          <w:lang w:val="fr-FR"/>
        </w:rPr>
        <w:t xml:space="preserve"> 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>2021</w:t>
      </w:r>
      <w:r w:rsidRPr="00FD6450">
        <w:rPr>
          <w:rFonts w:ascii="Arial Narrow" w:hAnsi="Arial Narrow" w:cstheme="minorHAnsi"/>
          <w:color w:val="0070C0"/>
          <w:spacing w:val="1"/>
          <w:sz w:val="24"/>
          <w:szCs w:val="24"/>
          <w:lang w:val="fr-FR"/>
        </w:rPr>
        <w:t xml:space="preserve"> 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>à</w:t>
      </w:r>
      <w:r w:rsidRPr="00FD6450">
        <w:rPr>
          <w:rFonts w:ascii="Arial Narrow" w:hAnsi="Arial Narrow" w:cstheme="minorHAnsi"/>
          <w:color w:val="0070C0"/>
          <w:spacing w:val="1"/>
          <w:sz w:val="24"/>
          <w:szCs w:val="24"/>
          <w:lang w:val="fr-FR"/>
        </w:rPr>
        <w:t xml:space="preserve"> 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>Aout</w:t>
      </w:r>
      <w:r w:rsidRPr="00FD6450">
        <w:rPr>
          <w:rFonts w:ascii="Arial Narrow" w:hAnsi="Arial Narrow" w:cstheme="minorHAnsi"/>
          <w:color w:val="0070C0"/>
          <w:spacing w:val="1"/>
          <w:sz w:val="24"/>
          <w:szCs w:val="24"/>
          <w:lang w:val="fr-FR"/>
        </w:rPr>
        <w:t xml:space="preserve">    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>2022,</w:t>
      </w:r>
      <w:r w:rsidRPr="00FD6450">
        <w:rPr>
          <w:rFonts w:ascii="Arial Narrow" w:hAnsi="Arial Narrow" w:cstheme="minorHAnsi"/>
          <w:color w:val="0070C0"/>
          <w:spacing w:val="1"/>
          <w:sz w:val="24"/>
          <w:szCs w:val="24"/>
          <w:lang w:val="fr-FR"/>
        </w:rPr>
        <w:t xml:space="preserve"> 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>déjà</w:t>
      </w:r>
      <w:r w:rsidRPr="00FD6450">
        <w:rPr>
          <w:rFonts w:ascii="Arial Narrow" w:hAnsi="Arial Narrow" w:cstheme="minorHAnsi"/>
          <w:color w:val="0070C0"/>
          <w:spacing w:val="1"/>
          <w:sz w:val="24"/>
          <w:szCs w:val="24"/>
          <w:lang w:val="fr-FR"/>
        </w:rPr>
        <w:t xml:space="preserve"> 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>projetée</w:t>
      </w:r>
      <w:r w:rsidRPr="00FD6450">
        <w:rPr>
          <w:rFonts w:ascii="Arial Narrow" w:hAnsi="Arial Narrow" w:cstheme="minorHAnsi"/>
          <w:color w:val="0070C0"/>
          <w:spacing w:val="1"/>
          <w:sz w:val="24"/>
          <w:szCs w:val="24"/>
          <w:lang w:val="fr-FR"/>
        </w:rPr>
        <w:t xml:space="preserve"> pour Janvier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 xml:space="preserve"> à Juin 2022 qu’un total de 105 millions des personnes seront en insécurité alimentaire, avec un total de 25 millions des personnes (25%) de la population,</w:t>
      </w:r>
      <w:r w:rsidRPr="00FD6450">
        <w:rPr>
          <w:rFonts w:ascii="Arial Narrow" w:hAnsi="Arial Narrow" w:cstheme="minorHAnsi"/>
          <w:color w:val="0070C0"/>
          <w:spacing w:val="-54"/>
          <w:sz w:val="24"/>
          <w:szCs w:val="24"/>
          <w:lang w:val="fr-FR"/>
        </w:rPr>
        <w:t xml:space="preserve"> 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 xml:space="preserve">seraient au stade in IPC 3+ due à la détérioration de la situation liée aux violences actives dans la partie Est du pays, avec 5,4 millions en IPC 4. Les provinces les plus affectées sont : </w:t>
      </w:r>
      <w:r w:rsidRPr="00FD6450">
        <w:rPr>
          <w:rFonts w:ascii="Arial Narrow" w:eastAsia="Arial" w:hAnsi="Arial Narrow" w:cstheme="minorHAnsi"/>
          <w:color w:val="0070C0"/>
          <w:sz w:val="24"/>
          <w:szCs w:val="24"/>
          <w:lang w:val="fr-FR"/>
        </w:rPr>
        <w:t>Ituri avec (12 %) de sa population en IPC 4, Kasaï (16 %), Kasaï Central (14 %), Kasaï Oriental, Kwango (14 % et Tanganyika (10 %).</w:t>
      </w:r>
    </w:p>
    <w:p w14:paraId="78CCEC99" w14:textId="77777777" w:rsidR="00F52F3D" w:rsidRPr="00FD6450" w:rsidRDefault="00F52F3D" w:rsidP="00FD6450">
      <w:pPr>
        <w:pStyle w:val="Corpsdetexte"/>
        <w:spacing w:before="1" w:line="360" w:lineRule="auto"/>
        <w:ind w:left="309" w:right="184"/>
        <w:jc w:val="both"/>
        <w:rPr>
          <w:rFonts w:ascii="Arial Narrow" w:hAnsi="Arial Narrow" w:cstheme="minorHAnsi"/>
          <w:color w:val="0070C0"/>
          <w:sz w:val="24"/>
          <w:szCs w:val="24"/>
          <w:lang w:val="fr-FR"/>
        </w:rPr>
      </w:pP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 xml:space="preserve">En réalité, la RDC expérimente </w:t>
      </w:r>
      <w:r w:rsidRPr="00FD6450">
        <w:rPr>
          <w:rFonts w:ascii="Arial Narrow" w:hAnsi="Arial Narrow" w:cstheme="minorHAnsi"/>
          <w:color w:val="0070C0"/>
          <w:spacing w:val="-8"/>
          <w:sz w:val="24"/>
          <w:szCs w:val="24"/>
          <w:lang w:val="fr-FR"/>
        </w:rPr>
        <w:t>l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 xml:space="preserve">’une des plus complexes </w:t>
      </w:r>
      <w:r w:rsidRPr="00FD6450">
        <w:rPr>
          <w:rFonts w:ascii="Arial Narrow" w:hAnsi="Arial Narrow" w:cstheme="minorHAnsi"/>
          <w:color w:val="0070C0"/>
          <w:spacing w:val="-6"/>
          <w:sz w:val="24"/>
          <w:szCs w:val="24"/>
          <w:lang w:val="fr-FR"/>
        </w:rPr>
        <w:t xml:space="preserve"> 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 xml:space="preserve">et prolongées crises humanitaires dans le monde, selon  </w:t>
      </w:r>
      <w:hyperlink r:id="rId7">
        <w:r w:rsidRPr="00FD6450">
          <w:rPr>
            <w:rFonts w:ascii="Arial Narrow" w:hAnsi="Arial Narrow" w:cstheme="minorHAnsi"/>
            <w:color w:val="0070C0"/>
            <w:sz w:val="24"/>
            <w:szCs w:val="24"/>
            <w:u w:val="single" w:color="0000FF"/>
            <w:lang w:val="fr-FR"/>
          </w:rPr>
          <w:t>OCHA</w:t>
        </w:r>
        <w:r w:rsidRPr="00FD6450">
          <w:rPr>
            <w:rFonts w:ascii="Arial Narrow" w:hAnsi="Arial Narrow" w:cstheme="minorHAnsi"/>
            <w:color w:val="0070C0"/>
            <w:sz w:val="24"/>
            <w:szCs w:val="24"/>
            <w:lang w:val="fr-FR"/>
          </w:rPr>
          <w:t>.</w:t>
        </w:r>
      </w:hyperlink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 xml:space="preserve"> Pendant que la situation est restée relativement stable</w:t>
      </w:r>
      <w:r w:rsidRPr="00FD6450">
        <w:rPr>
          <w:rFonts w:ascii="Arial Narrow" w:hAnsi="Arial Narrow" w:cstheme="minorHAnsi"/>
          <w:color w:val="0070C0"/>
          <w:spacing w:val="47"/>
          <w:sz w:val="24"/>
          <w:szCs w:val="24"/>
          <w:lang w:val="fr-FR"/>
        </w:rPr>
        <w:t xml:space="preserve"> 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>ou améliorées dans certaines zones en</w:t>
      </w:r>
      <w:r w:rsidRPr="00FD6450">
        <w:rPr>
          <w:rFonts w:ascii="Arial Narrow" w:hAnsi="Arial Narrow" w:cstheme="minorHAnsi"/>
          <w:color w:val="0070C0"/>
          <w:spacing w:val="48"/>
          <w:sz w:val="24"/>
          <w:szCs w:val="24"/>
          <w:lang w:val="fr-FR"/>
        </w:rPr>
        <w:t xml:space="preserve"> 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>2021, Les conflits armés et les  catastrophes naturelles continuent de  causer des mouvements notables de la population à l’Est du pays,</w:t>
      </w:r>
      <w:r w:rsidRPr="00FD6450">
        <w:rPr>
          <w:rFonts w:ascii="Arial Narrow" w:hAnsi="Arial Narrow" w:cstheme="minorHAnsi"/>
          <w:color w:val="0070C0"/>
          <w:spacing w:val="1"/>
          <w:sz w:val="24"/>
          <w:szCs w:val="24"/>
          <w:lang w:val="fr-FR"/>
        </w:rPr>
        <w:t xml:space="preserve"> 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>particulièrement dans les  provinces de Nord Kivu et Ituri où un Etat de siège était  déclaré en  Avril 2022 due à l’augmentation des attaques.</w:t>
      </w:r>
    </w:p>
    <w:p w14:paraId="689DA703" w14:textId="77777777" w:rsidR="00F52F3D" w:rsidRPr="00FD6450" w:rsidRDefault="00F52F3D" w:rsidP="00FD6450">
      <w:pPr>
        <w:pStyle w:val="Corpsdetexte"/>
        <w:spacing w:line="360" w:lineRule="auto"/>
        <w:ind w:left="309" w:right="181"/>
        <w:jc w:val="both"/>
        <w:rPr>
          <w:rFonts w:ascii="Arial Narrow" w:hAnsi="Arial Narrow" w:cstheme="minorHAnsi"/>
          <w:color w:val="0070C0"/>
          <w:sz w:val="24"/>
          <w:szCs w:val="24"/>
          <w:lang w:val="fr-FR"/>
        </w:rPr>
      </w:pP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 xml:space="preserve">Les situations citées ci-haut </w:t>
      </w:r>
      <w:r w:rsidRPr="00FD6450">
        <w:rPr>
          <w:rFonts w:ascii="Arial Narrow" w:hAnsi="Arial Narrow" w:cstheme="minorHAnsi"/>
          <w:color w:val="0070C0"/>
          <w:spacing w:val="-3"/>
          <w:sz w:val="24"/>
          <w:szCs w:val="24"/>
          <w:lang w:val="fr-FR"/>
        </w:rPr>
        <w:t>ont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 xml:space="preserve"> poussé la RDC a accumulé le plus grand nombre des personnes déplacées dans le monde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>.</w:t>
      </w:r>
    </w:p>
    <w:p w14:paraId="031CFAA1" w14:textId="77777777" w:rsidR="00F52F3D" w:rsidRPr="00FD6450" w:rsidRDefault="00F52F3D" w:rsidP="00FD6450">
      <w:pPr>
        <w:pStyle w:val="Corpsdetexte"/>
        <w:spacing w:line="360" w:lineRule="auto"/>
        <w:ind w:left="309" w:right="181"/>
        <w:jc w:val="both"/>
        <w:rPr>
          <w:rFonts w:ascii="Arial Narrow" w:hAnsi="Arial Narrow" w:cstheme="minorHAnsi"/>
          <w:color w:val="0070C0"/>
          <w:sz w:val="24"/>
          <w:szCs w:val="24"/>
          <w:lang w:val="fr-FR"/>
        </w:rPr>
      </w:pP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 xml:space="preserve">Dans le cadre du projet (DREF), nous avons organisé des formations 50 volontaires dans les provinces de </w:t>
      </w:r>
      <w:r w:rsidR="00E11A46"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>Kasaï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 xml:space="preserve"> et </w:t>
      </w:r>
      <w:r w:rsidR="00E11A46"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>Kasaï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 xml:space="preserve"> </w:t>
      </w:r>
      <w:r w:rsidR="00E11A46"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>central sur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 xml:space="preserve"> </w:t>
      </w:r>
      <w:r w:rsidR="00E11A46"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>différents thèmes</w:t>
      </w: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 xml:space="preserve"> à savoir :</w:t>
      </w:r>
    </w:p>
    <w:p w14:paraId="09C7B27B" w14:textId="77777777" w:rsidR="00F52F3D" w:rsidRPr="00FD6450" w:rsidRDefault="00F52F3D" w:rsidP="00FD6450">
      <w:pPr>
        <w:pStyle w:val="Corpsdetexte"/>
        <w:numPr>
          <w:ilvl w:val="0"/>
          <w:numId w:val="1"/>
        </w:numPr>
        <w:spacing w:line="360" w:lineRule="auto"/>
        <w:ind w:right="181"/>
        <w:jc w:val="both"/>
        <w:rPr>
          <w:rFonts w:ascii="Arial Narrow" w:hAnsi="Arial Narrow" w:cstheme="minorHAnsi"/>
          <w:color w:val="0070C0"/>
          <w:sz w:val="24"/>
          <w:szCs w:val="24"/>
          <w:u w:val="single" w:color="0000FF"/>
          <w:lang w:val="fr-FR"/>
        </w:rPr>
      </w:pP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 xml:space="preserve">Programme de transferts monétaires </w:t>
      </w:r>
    </w:p>
    <w:p w14:paraId="4D16D0CF" w14:textId="77777777" w:rsidR="00F52F3D" w:rsidRPr="00FD6450" w:rsidRDefault="00F52F3D" w:rsidP="00FD6450">
      <w:pPr>
        <w:pStyle w:val="Corpsdetexte"/>
        <w:numPr>
          <w:ilvl w:val="0"/>
          <w:numId w:val="1"/>
        </w:numPr>
        <w:spacing w:line="360" w:lineRule="auto"/>
        <w:ind w:right="181"/>
        <w:jc w:val="both"/>
        <w:rPr>
          <w:rFonts w:ascii="Arial Narrow" w:hAnsi="Arial Narrow" w:cstheme="minorHAnsi"/>
          <w:color w:val="0070C0"/>
          <w:sz w:val="24"/>
          <w:szCs w:val="24"/>
          <w:u w:val="single" w:color="0000FF"/>
          <w:lang w:val="fr-FR"/>
        </w:rPr>
      </w:pPr>
      <w:r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 xml:space="preserve">Etude de marché </w:t>
      </w:r>
      <w:r w:rsidR="00E11A46" w:rsidRPr="00FD6450">
        <w:rPr>
          <w:rFonts w:ascii="Arial Narrow" w:hAnsi="Arial Narrow" w:cstheme="minorHAnsi"/>
          <w:color w:val="0070C0"/>
          <w:sz w:val="24"/>
          <w:szCs w:val="24"/>
          <w:lang w:val="fr-FR"/>
        </w:rPr>
        <w:t>ainsi que certaines notions sur l’engagement communautaire et redevabilité.</w:t>
      </w:r>
    </w:p>
    <w:p w14:paraId="7F55618A" w14:textId="77777777" w:rsidR="00E11A46" w:rsidRPr="00FD6450" w:rsidRDefault="00E11A46" w:rsidP="00217336">
      <w:pPr>
        <w:pStyle w:val="Titre3"/>
        <w:numPr>
          <w:ilvl w:val="0"/>
          <w:numId w:val="10"/>
        </w:numPr>
        <w:shd w:val="clear" w:color="auto" w:fill="E7E6E6" w:themeFill="background2"/>
        <w:tabs>
          <w:tab w:val="left" w:pos="720"/>
        </w:tabs>
        <w:spacing w:before="0" w:after="0" w:line="360" w:lineRule="auto"/>
        <w:ind w:left="720" w:hanging="360"/>
        <w:rPr>
          <w:rFonts w:ascii="Arial Narrow" w:hAnsi="Arial Narrow"/>
          <w:sz w:val="24"/>
          <w:szCs w:val="24"/>
        </w:rPr>
      </w:pPr>
      <w:bookmarkStart w:id="0" w:name="_Toc291861435"/>
      <w:r w:rsidRPr="00FD6450">
        <w:rPr>
          <w:rFonts w:ascii="Arial Narrow" w:hAnsi="Arial Narrow"/>
          <w:sz w:val="24"/>
          <w:szCs w:val="24"/>
        </w:rPr>
        <w:t xml:space="preserve">BUT ET OBJECTIFS </w:t>
      </w:r>
      <w:bookmarkEnd w:id="0"/>
      <w:r w:rsidRPr="00FD6450">
        <w:rPr>
          <w:rFonts w:ascii="Arial Narrow" w:hAnsi="Arial Narrow"/>
          <w:sz w:val="24"/>
          <w:szCs w:val="24"/>
        </w:rPr>
        <w:t xml:space="preserve"> </w:t>
      </w:r>
    </w:p>
    <w:p w14:paraId="098BDF93" w14:textId="77777777" w:rsidR="00E11A46" w:rsidRPr="00FD6450" w:rsidRDefault="00E11A46" w:rsidP="00FD6450">
      <w:pPr>
        <w:spacing w:line="360" w:lineRule="auto"/>
        <w:jc w:val="both"/>
        <w:rPr>
          <w:rFonts w:ascii="Arial Narrow" w:hAnsi="Arial Narrow" w:cs="Arial"/>
          <w:color w:val="0070C0"/>
          <w:sz w:val="24"/>
          <w:szCs w:val="24"/>
          <w:lang w:val="fr-FR"/>
        </w:rPr>
      </w:pPr>
    </w:p>
    <w:p w14:paraId="436FA04E" w14:textId="00F98547" w:rsidR="00E11A46" w:rsidRPr="0086528D" w:rsidRDefault="00E111A8" w:rsidP="00FD6450">
      <w:pPr>
        <w:pStyle w:val="Paragraphedeliste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Arial Narrow" w:eastAsia="MS Mincho" w:hAnsi="Arial Narrow" w:cs="Arial"/>
          <w:b/>
          <w:color w:val="0070C0"/>
          <w:sz w:val="24"/>
          <w:szCs w:val="24"/>
          <w:lang w:val="fr-FR" w:eastAsia="ja-JP"/>
        </w:rPr>
      </w:pPr>
      <w:r w:rsidRPr="00FD6450">
        <w:rPr>
          <w:rFonts w:ascii="Arial Narrow" w:eastAsia="MS Mincho" w:hAnsi="Arial Narrow" w:cs="Arial"/>
          <w:b/>
          <w:color w:val="0070C0"/>
          <w:sz w:val="24"/>
          <w:szCs w:val="24"/>
          <w:lang w:val="fr-FR" w:eastAsia="ja-JP"/>
        </w:rPr>
        <w:lastRenderedPageBreak/>
        <w:t xml:space="preserve">Objectif général </w:t>
      </w:r>
      <w:r w:rsidR="00FB182B" w:rsidRPr="00FD6450">
        <w:rPr>
          <w:rFonts w:ascii="Arial Narrow" w:eastAsia="MS Mincho" w:hAnsi="Arial Narrow" w:cs="Arial"/>
          <w:b/>
          <w:color w:val="0070C0"/>
          <w:sz w:val="24"/>
          <w:szCs w:val="24"/>
          <w:lang w:val="fr-FR" w:eastAsia="ja-JP"/>
        </w:rPr>
        <w:t>de</w:t>
      </w:r>
      <w:r w:rsidRPr="00FD6450">
        <w:rPr>
          <w:rFonts w:ascii="Arial Narrow" w:eastAsia="MS Mincho" w:hAnsi="Arial Narrow" w:cs="Arial"/>
          <w:b/>
          <w:color w:val="0070C0"/>
          <w:sz w:val="24"/>
          <w:szCs w:val="24"/>
          <w:lang w:val="fr-FR" w:eastAsia="ja-JP"/>
        </w:rPr>
        <w:t>s</w:t>
      </w:r>
      <w:r w:rsidR="00FB182B" w:rsidRPr="00FD6450">
        <w:rPr>
          <w:rFonts w:ascii="Arial Narrow" w:eastAsia="MS Mincho" w:hAnsi="Arial Narrow" w:cs="Arial"/>
          <w:b/>
          <w:color w:val="0070C0"/>
          <w:sz w:val="24"/>
          <w:szCs w:val="24"/>
          <w:lang w:val="fr-FR" w:eastAsia="ja-JP"/>
        </w:rPr>
        <w:t xml:space="preserve"> formations</w:t>
      </w:r>
      <w:r w:rsidR="00E11A46" w:rsidRPr="00FD6450">
        <w:rPr>
          <w:rFonts w:ascii="Arial Narrow" w:eastAsia="MS Mincho" w:hAnsi="Arial Narrow" w:cs="Arial"/>
          <w:b/>
          <w:color w:val="0070C0"/>
          <w:sz w:val="24"/>
          <w:szCs w:val="24"/>
          <w:lang w:val="fr-FR" w:eastAsia="ja-JP"/>
        </w:rPr>
        <w:t>.</w:t>
      </w:r>
    </w:p>
    <w:p w14:paraId="2E9678D8" w14:textId="43764B25" w:rsidR="00E11A46" w:rsidRPr="00FD6450" w:rsidRDefault="00E111A8" w:rsidP="00FD6450">
      <w:pPr>
        <w:spacing w:line="360" w:lineRule="auto"/>
        <w:jc w:val="both"/>
        <w:rPr>
          <w:rFonts w:ascii="Arial Narrow" w:hAnsi="Arial Narrow" w:cs="Arial"/>
          <w:color w:val="0070C0"/>
          <w:sz w:val="24"/>
          <w:szCs w:val="24"/>
          <w:lang w:val="fr-FR"/>
        </w:rPr>
      </w:pPr>
      <w:r w:rsidRPr="00FD6450">
        <w:rPr>
          <w:rFonts w:ascii="Arial Narrow" w:hAnsi="Arial Narrow" w:cs="Arial"/>
          <w:color w:val="0070C0"/>
          <w:sz w:val="24"/>
          <w:szCs w:val="24"/>
          <w:lang w:val="fr-FR"/>
        </w:rPr>
        <w:t>I</w:t>
      </w:r>
      <w:r w:rsidR="00E11A46" w:rsidRPr="00FD6450">
        <w:rPr>
          <w:rFonts w:ascii="Arial Narrow" w:hAnsi="Arial Narrow" w:cs="Arial"/>
          <w:color w:val="0070C0"/>
          <w:sz w:val="24"/>
          <w:szCs w:val="24"/>
          <w:lang w:val="fr-FR"/>
        </w:rPr>
        <w:t>dentifi</w:t>
      </w:r>
      <w:r w:rsidRPr="00FD6450">
        <w:rPr>
          <w:rFonts w:ascii="Arial Narrow" w:hAnsi="Arial Narrow" w:cs="Arial"/>
          <w:color w:val="0070C0"/>
          <w:sz w:val="24"/>
          <w:szCs w:val="24"/>
          <w:lang w:val="fr-FR"/>
        </w:rPr>
        <w:t>er les</w:t>
      </w:r>
      <w:r w:rsidR="00E11A46" w:rsidRPr="00FD6450">
        <w:rPr>
          <w:rFonts w:ascii="Arial Narrow" w:hAnsi="Arial Narrow" w:cs="Arial"/>
          <w:color w:val="0070C0"/>
          <w:sz w:val="24"/>
          <w:szCs w:val="24"/>
          <w:lang w:val="fr-FR"/>
        </w:rPr>
        <w:t xml:space="preserve"> bénéficiaires</w:t>
      </w:r>
      <w:r w:rsidRPr="00FD6450">
        <w:rPr>
          <w:rFonts w:ascii="Arial Narrow" w:hAnsi="Arial Narrow" w:cs="Arial"/>
          <w:color w:val="0070C0"/>
          <w:sz w:val="24"/>
          <w:szCs w:val="24"/>
          <w:lang w:val="fr-FR"/>
        </w:rPr>
        <w:t xml:space="preserve">, leurs besoins et le fonctionnement du système marchés locaux </w:t>
      </w:r>
    </w:p>
    <w:p w14:paraId="6D531FC0" w14:textId="2C2D9D9D" w:rsidR="00E111A8" w:rsidRPr="0086528D" w:rsidRDefault="00E111A8" w:rsidP="00FD6450">
      <w:pPr>
        <w:spacing w:line="360" w:lineRule="auto"/>
        <w:jc w:val="both"/>
        <w:rPr>
          <w:rFonts w:ascii="Arial Narrow" w:hAnsi="Arial Narrow" w:cs="Arial"/>
          <w:b/>
          <w:bCs/>
          <w:color w:val="0070C0"/>
          <w:sz w:val="24"/>
          <w:szCs w:val="24"/>
          <w:lang w:val="fr-FR"/>
        </w:rPr>
      </w:pPr>
      <w:r w:rsidRPr="00FD6450">
        <w:rPr>
          <w:rFonts w:ascii="Arial Narrow" w:hAnsi="Arial Narrow" w:cs="Arial"/>
          <w:b/>
          <w:bCs/>
          <w:color w:val="0070C0"/>
          <w:sz w:val="24"/>
          <w:szCs w:val="24"/>
          <w:lang w:val="fr-FR"/>
        </w:rPr>
        <w:t xml:space="preserve">Objectifs spécifiques </w:t>
      </w:r>
    </w:p>
    <w:p w14:paraId="5DA6C119" w14:textId="16E29652" w:rsidR="00E11A46" w:rsidRPr="00FD6450" w:rsidRDefault="00E11A46" w:rsidP="00FD6450">
      <w:pPr>
        <w:spacing w:line="360" w:lineRule="auto"/>
        <w:jc w:val="both"/>
        <w:rPr>
          <w:rFonts w:ascii="Arial Narrow" w:hAnsi="Arial Narrow" w:cs="Arial"/>
          <w:color w:val="0070C0"/>
          <w:sz w:val="24"/>
          <w:szCs w:val="24"/>
          <w:lang w:val="fr-FR"/>
        </w:rPr>
      </w:pPr>
      <w:r w:rsidRPr="00FD6450">
        <w:rPr>
          <w:rFonts w:ascii="Arial Narrow" w:hAnsi="Arial Narrow" w:cs="Arial"/>
          <w:color w:val="0070C0"/>
          <w:sz w:val="24"/>
          <w:szCs w:val="24"/>
          <w:lang w:val="fr-FR"/>
        </w:rPr>
        <w:t>Ce</w:t>
      </w:r>
      <w:r w:rsidR="009D2687" w:rsidRPr="00FD6450">
        <w:rPr>
          <w:rFonts w:ascii="Arial Narrow" w:hAnsi="Arial Narrow" w:cs="Arial"/>
          <w:color w:val="0070C0"/>
          <w:sz w:val="24"/>
          <w:szCs w:val="24"/>
          <w:lang w:val="fr-FR"/>
        </w:rPr>
        <w:t>s formations nous permettront de</w:t>
      </w:r>
      <w:r w:rsidRPr="00FD6450">
        <w:rPr>
          <w:rFonts w:ascii="Arial Narrow" w:hAnsi="Arial Narrow" w:cs="Arial"/>
          <w:color w:val="0070C0"/>
          <w:sz w:val="24"/>
          <w:szCs w:val="24"/>
          <w:lang w:val="fr-FR"/>
        </w:rPr>
        <w:t> :</w:t>
      </w:r>
    </w:p>
    <w:p w14:paraId="614AB29F" w14:textId="77777777" w:rsidR="00E11A46" w:rsidRPr="00FD6450" w:rsidRDefault="00E11A46" w:rsidP="00FD6450">
      <w:pPr>
        <w:spacing w:line="360" w:lineRule="auto"/>
        <w:jc w:val="both"/>
        <w:rPr>
          <w:rFonts w:ascii="Arial Narrow" w:hAnsi="Arial Narrow" w:cs="Arial"/>
          <w:color w:val="0070C0"/>
          <w:sz w:val="24"/>
          <w:szCs w:val="24"/>
          <w:lang w:val="fr-FR"/>
        </w:rPr>
      </w:pPr>
    </w:p>
    <w:p w14:paraId="09B3761A" w14:textId="4F8B4849" w:rsidR="00E11A46" w:rsidRDefault="009D2687" w:rsidP="00FD6450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="Arial Narrow" w:hAnsi="Arial Narrow" w:cs="Arial"/>
          <w:color w:val="0070C0"/>
          <w:sz w:val="24"/>
          <w:szCs w:val="24"/>
          <w:lang w:val="fr-FR"/>
        </w:rPr>
      </w:pPr>
      <w:r w:rsidRPr="00FD6450">
        <w:rPr>
          <w:rFonts w:ascii="Arial Narrow" w:hAnsi="Arial Narrow" w:cs="Arial"/>
          <w:color w:val="0070C0"/>
          <w:sz w:val="24"/>
          <w:szCs w:val="24"/>
          <w:lang w:val="fr-FR"/>
        </w:rPr>
        <w:t>Bien mener l</w:t>
      </w:r>
      <w:r w:rsidR="00D83254" w:rsidRPr="00FD6450">
        <w:rPr>
          <w:rFonts w:ascii="Arial Narrow" w:hAnsi="Arial Narrow" w:cs="Arial"/>
          <w:color w:val="0070C0"/>
          <w:sz w:val="24"/>
          <w:szCs w:val="24"/>
          <w:lang w:val="fr-FR"/>
        </w:rPr>
        <w:t xml:space="preserve">es </w:t>
      </w:r>
      <w:r w:rsidRPr="00FD6450">
        <w:rPr>
          <w:rFonts w:ascii="Arial Narrow" w:hAnsi="Arial Narrow" w:cs="Arial"/>
          <w:color w:val="0070C0"/>
          <w:sz w:val="24"/>
          <w:szCs w:val="24"/>
          <w:lang w:val="fr-FR"/>
        </w:rPr>
        <w:t>enquête</w:t>
      </w:r>
      <w:r w:rsidR="00D83254" w:rsidRPr="00FD6450">
        <w:rPr>
          <w:rFonts w:ascii="Arial Narrow" w:hAnsi="Arial Narrow" w:cs="Arial"/>
          <w:color w:val="0070C0"/>
          <w:sz w:val="24"/>
          <w:szCs w:val="24"/>
          <w:lang w:val="fr-FR"/>
        </w:rPr>
        <w:t>s</w:t>
      </w:r>
      <w:r w:rsidRPr="00FD6450">
        <w:rPr>
          <w:rFonts w:ascii="Arial Narrow" w:hAnsi="Arial Narrow" w:cs="Arial"/>
          <w:color w:val="0070C0"/>
          <w:sz w:val="24"/>
          <w:szCs w:val="24"/>
          <w:lang w:val="fr-FR"/>
        </w:rPr>
        <w:t xml:space="preserve"> sur l’identification des bénéficiaires et l’étude de marché ;</w:t>
      </w:r>
    </w:p>
    <w:p w14:paraId="2D60F356" w14:textId="28C2CC9E" w:rsidR="00A32E6C" w:rsidRPr="00A32E6C" w:rsidRDefault="00A32E6C" w:rsidP="00A32E6C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="Arial Narrow" w:hAnsi="Arial Narrow" w:cs="Arial"/>
          <w:color w:val="0070C0"/>
          <w:sz w:val="24"/>
          <w:szCs w:val="24"/>
          <w:lang w:val="fr-FR"/>
        </w:rPr>
      </w:pPr>
      <w:r w:rsidRPr="00FD6450">
        <w:rPr>
          <w:rFonts w:ascii="Arial Narrow" w:hAnsi="Arial Narrow" w:cs="Arial"/>
          <w:color w:val="0070C0"/>
          <w:sz w:val="24"/>
          <w:szCs w:val="24"/>
          <w:lang w:val="fr-FR"/>
        </w:rPr>
        <w:t>Connaître les besoins essentiels des bénéficiaires</w:t>
      </w:r>
    </w:p>
    <w:p w14:paraId="31A6C60B" w14:textId="556535D4" w:rsidR="00E111A8" w:rsidRPr="00A32E6C" w:rsidRDefault="00E111A8" w:rsidP="00A32E6C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="Arial Narrow" w:hAnsi="Arial Narrow" w:cs="Arial"/>
          <w:color w:val="0070C0"/>
          <w:sz w:val="24"/>
          <w:szCs w:val="24"/>
          <w:lang w:val="fr-FR"/>
        </w:rPr>
      </w:pPr>
      <w:r w:rsidRPr="00FD6450">
        <w:rPr>
          <w:rFonts w:ascii="Arial Narrow" w:hAnsi="Arial Narrow" w:cs="Arial"/>
          <w:color w:val="0070C0"/>
          <w:sz w:val="24"/>
          <w:szCs w:val="24"/>
          <w:lang w:val="fr-FR"/>
        </w:rPr>
        <w:t xml:space="preserve">Cartographie des marchés </w:t>
      </w:r>
    </w:p>
    <w:p w14:paraId="4D5FC422" w14:textId="77777777" w:rsidR="00E11A46" w:rsidRPr="00FD6450" w:rsidRDefault="00E11A46" w:rsidP="00FD6450">
      <w:pPr>
        <w:shd w:val="clear" w:color="auto" w:fill="E7E6E6" w:themeFill="background2"/>
        <w:spacing w:line="360" w:lineRule="auto"/>
        <w:jc w:val="both"/>
        <w:rPr>
          <w:rFonts w:ascii="Arial Narrow" w:hAnsi="Arial Narrow" w:cs="Arial"/>
          <w:color w:val="0070C0"/>
          <w:sz w:val="24"/>
          <w:szCs w:val="24"/>
          <w:lang w:val="fr-FR"/>
        </w:rPr>
      </w:pPr>
    </w:p>
    <w:p w14:paraId="6DF4309A" w14:textId="77777777" w:rsidR="00E11A46" w:rsidRPr="00FD6450" w:rsidRDefault="00E11A46" w:rsidP="00FD6450">
      <w:pPr>
        <w:pStyle w:val="Titre3"/>
        <w:numPr>
          <w:ilvl w:val="0"/>
          <w:numId w:val="10"/>
        </w:numPr>
        <w:shd w:val="clear" w:color="auto" w:fill="E7E6E6" w:themeFill="background2"/>
        <w:tabs>
          <w:tab w:val="left" w:pos="720"/>
        </w:tabs>
        <w:spacing w:before="0" w:after="0" w:line="360" w:lineRule="auto"/>
        <w:ind w:left="720" w:hanging="360"/>
        <w:rPr>
          <w:rFonts w:ascii="Arial Narrow" w:hAnsi="Arial Narrow"/>
          <w:sz w:val="24"/>
          <w:szCs w:val="24"/>
        </w:rPr>
      </w:pPr>
      <w:bookmarkStart w:id="1" w:name="_Toc242686758"/>
      <w:bookmarkStart w:id="2" w:name="_Toc291861436"/>
      <w:r w:rsidRPr="00FD6450">
        <w:rPr>
          <w:rFonts w:ascii="Arial Narrow" w:hAnsi="Arial Narrow"/>
          <w:sz w:val="24"/>
          <w:szCs w:val="24"/>
        </w:rPr>
        <w:t>METHODOLOGIE DE COLLECTE, OUTILS DE COLLECTE DES DONNEES, TRAITEMENT DES DONNEES</w:t>
      </w:r>
      <w:bookmarkEnd w:id="1"/>
      <w:r w:rsidRPr="00FD6450">
        <w:rPr>
          <w:rFonts w:ascii="Arial Narrow" w:hAnsi="Arial Narrow"/>
          <w:sz w:val="24"/>
          <w:szCs w:val="24"/>
        </w:rPr>
        <w:t xml:space="preserve"> ET ANALYSE DES RESULTATS</w:t>
      </w:r>
      <w:bookmarkEnd w:id="2"/>
    </w:p>
    <w:p w14:paraId="4BF9857F" w14:textId="77777777" w:rsidR="00E11A46" w:rsidRPr="00FD6450" w:rsidRDefault="00E11A46" w:rsidP="00FD6450">
      <w:pPr>
        <w:spacing w:line="360" w:lineRule="auto"/>
        <w:jc w:val="both"/>
        <w:rPr>
          <w:rFonts w:ascii="Arial Narrow" w:eastAsia="Arial Unicode MS" w:hAnsi="Arial Narrow" w:cs="Arial"/>
          <w:color w:val="0070C0"/>
          <w:sz w:val="24"/>
          <w:szCs w:val="24"/>
          <w:lang w:val="fr-FR"/>
        </w:rPr>
      </w:pPr>
    </w:p>
    <w:p w14:paraId="3E833539" w14:textId="77777777" w:rsidR="00E11A46" w:rsidRPr="00FD6450" w:rsidRDefault="00E11A46" w:rsidP="00FD6450">
      <w:pPr>
        <w:pStyle w:val="Style1"/>
        <w:numPr>
          <w:ilvl w:val="0"/>
          <w:numId w:val="12"/>
        </w:numPr>
        <w:tabs>
          <w:tab w:val="num" w:pos="360"/>
        </w:tabs>
        <w:spacing w:line="360" w:lineRule="auto"/>
        <w:rPr>
          <w:rFonts w:ascii="Arial Narrow" w:eastAsia="Arial Unicode MS" w:hAnsi="Arial Narrow" w:cs="Arial"/>
          <w:b/>
          <w:bCs w:val="0"/>
          <w:iCs w:val="0"/>
          <w:color w:val="0070C0"/>
          <w:sz w:val="24"/>
          <w:szCs w:val="24"/>
          <w:u w:val="none"/>
          <w:lang w:eastAsia="ja-JP"/>
        </w:rPr>
      </w:pPr>
      <w:r w:rsidRPr="00FD6450">
        <w:rPr>
          <w:rFonts w:ascii="Arial Narrow" w:eastAsia="Arial Unicode MS" w:hAnsi="Arial Narrow" w:cs="Arial"/>
          <w:b/>
          <w:bCs w:val="0"/>
          <w:iCs w:val="0"/>
          <w:color w:val="0070C0"/>
          <w:sz w:val="24"/>
          <w:szCs w:val="24"/>
          <w:u w:val="none"/>
          <w:lang w:eastAsia="ja-JP"/>
        </w:rPr>
        <w:t>Approche méthodologique</w:t>
      </w:r>
    </w:p>
    <w:p w14:paraId="4A9DAE9D" w14:textId="77777777" w:rsidR="00E11A46" w:rsidRPr="00FD6450" w:rsidRDefault="00E11A46" w:rsidP="00FD6450">
      <w:pPr>
        <w:pStyle w:val="Style1"/>
        <w:numPr>
          <w:ilvl w:val="0"/>
          <w:numId w:val="0"/>
        </w:numPr>
        <w:spacing w:line="360" w:lineRule="auto"/>
        <w:rPr>
          <w:rFonts w:ascii="Arial Narrow" w:eastAsia="Arial Unicode MS" w:hAnsi="Arial Narrow" w:cs="Arial"/>
          <w:b/>
          <w:bCs w:val="0"/>
          <w:iCs w:val="0"/>
          <w:color w:val="0070C0"/>
          <w:sz w:val="24"/>
          <w:szCs w:val="24"/>
          <w:u w:val="none"/>
          <w:lang w:eastAsia="ja-JP"/>
        </w:rPr>
      </w:pPr>
    </w:p>
    <w:p w14:paraId="322995A5" w14:textId="16B8C73E" w:rsidR="00E11A46" w:rsidRPr="00FD6450" w:rsidRDefault="000C7CF1" w:rsidP="00FD6450">
      <w:pPr>
        <w:spacing w:line="360" w:lineRule="auto"/>
        <w:jc w:val="both"/>
        <w:rPr>
          <w:rFonts w:ascii="Arial Narrow" w:hAnsi="Arial Narrow" w:cs="Arial"/>
          <w:color w:val="0070C0"/>
          <w:sz w:val="24"/>
          <w:szCs w:val="24"/>
          <w:lang w:val="fr-FR"/>
        </w:rPr>
      </w:pPr>
      <w:r w:rsidRPr="00FD6450">
        <w:rPr>
          <w:rFonts w:ascii="Arial Narrow" w:hAnsi="Arial Narrow" w:cs="Arial"/>
          <w:color w:val="0070C0"/>
          <w:sz w:val="24"/>
          <w:szCs w:val="24"/>
          <w:lang w:val="fr-FR"/>
        </w:rPr>
        <w:t xml:space="preserve">Pour </w:t>
      </w:r>
      <w:r w:rsidR="00E11A46" w:rsidRPr="00FD6450">
        <w:rPr>
          <w:rFonts w:ascii="Arial Narrow" w:hAnsi="Arial Narrow" w:cs="Arial"/>
          <w:color w:val="0070C0"/>
          <w:sz w:val="24"/>
          <w:szCs w:val="24"/>
          <w:lang w:val="fr-FR"/>
        </w:rPr>
        <w:t xml:space="preserve">atteindre les </w:t>
      </w:r>
      <w:r w:rsidRPr="00FD6450">
        <w:rPr>
          <w:rFonts w:ascii="Arial Narrow" w:hAnsi="Arial Narrow" w:cs="Arial"/>
          <w:color w:val="0070C0"/>
          <w:sz w:val="24"/>
          <w:szCs w:val="24"/>
          <w:lang w:val="fr-FR"/>
        </w:rPr>
        <w:t>objectifs,</w:t>
      </w:r>
      <w:r w:rsidR="00E11A46" w:rsidRPr="00FD6450">
        <w:rPr>
          <w:rFonts w:ascii="Arial Narrow" w:hAnsi="Arial Narrow" w:cs="Arial"/>
          <w:color w:val="0070C0"/>
          <w:sz w:val="24"/>
          <w:szCs w:val="24"/>
          <w:lang w:val="fr-FR"/>
        </w:rPr>
        <w:t xml:space="preserve"> l’approche méthodologique associera des techniques mixtes prenant à la fois en compte les aspects </w:t>
      </w:r>
      <w:r w:rsidRPr="00FD6450">
        <w:rPr>
          <w:rFonts w:ascii="Arial Narrow" w:hAnsi="Arial Narrow" w:cs="Arial"/>
          <w:color w:val="0070C0"/>
          <w:sz w:val="24"/>
          <w:szCs w:val="24"/>
          <w:lang w:val="fr-FR"/>
        </w:rPr>
        <w:t>théoriques et pratiques et l’approche participative.</w:t>
      </w:r>
    </w:p>
    <w:p w14:paraId="4A44C59B" w14:textId="2EE476D8" w:rsidR="00E11A46" w:rsidRPr="00FD6450" w:rsidRDefault="000C7CF1" w:rsidP="00FD6450">
      <w:pPr>
        <w:spacing w:before="120" w:line="360" w:lineRule="auto"/>
        <w:jc w:val="both"/>
        <w:rPr>
          <w:rFonts w:ascii="Arial Narrow" w:hAnsi="Arial Narrow" w:cs="Arial"/>
          <w:color w:val="0070C0"/>
          <w:sz w:val="24"/>
          <w:szCs w:val="24"/>
          <w:lang w:val="fr-FR"/>
        </w:rPr>
      </w:pPr>
      <w:r w:rsidRPr="00FD6450">
        <w:rPr>
          <w:rFonts w:ascii="Arial Narrow" w:hAnsi="Arial Narrow" w:cs="Arial"/>
          <w:color w:val="0070C0"/>
          <w:sz w:val="24"/>
          <w:szCs w:val="24"/>
          <w:lang w:val="fr-FR"/>
        </w:rPr>
        <w:t xml:space="preserve">Exercices pratiques permettant à tout participant de contribuer aux réponses données par les membres du groupe ainsi il bénéficiant de certaines explications pendant la plénière ou exposé des autres groupes pour comprendre davantage, </w:t>
      </w:r>
    </w:p>
    <w:p w14:paraId="138E1FB1" w14:textId="77777777" w:rsidR="00E11A46" w:rsidRPr="00FD6450" w:rsidRDefault="00E11A46" w:rsidP="00FD6450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fr"/>
        </w:rPr>
      </w:pPr>
    </w:p>
    <w:p w14:paraId="0AB49B77" w14:textId="77777777" w:rsidR="00FD6450" w:rsidRPr="00FD6450" w:rsidRDefault="00FD6450" w:rsidP="00FD6450">
      <w:pPr>
        <w:pStyle w:val="Titre3"/>
        <w:numPr>
          <w:ilvl w:val="0"/>
          <w:numId w:val="10"/>
        </w:numPr>
        <w:shd w:val="clear" w:color="auto" w:fill="E7E6E6" w:themeFill="background2"/>
        <w:tabs>
          <w:tab w:val="left" w:pos="720"/>
        </w:tabs>
        <w:spacing w:before="0" w:after="0" w:line="360" w:lineRule="auto"/>
        <w:ind w:left="720" w:hanging="360"/>
        <w:rPr>
          <w:rFonts w:ascii="Arial Narrow" w:hAnsi="Arial Narrow"/>
          <w:sz w:val="24"/>
          <w:szCs w:val="24"/>
        </w:rPr>
      </w:pPr>
      <w:r w:rsidRPr="00FD6450">
        <w:rPr>
          <w:rFonts w:ascii="Arial Narrow" w:hAnsi="Arial Narrow"/>
          <w:sz w:val="24"/>
          <w:szCs w:val="24"/>
        </w:rPr>
        <w:t>RESULTATS ATTENDUS DDES FORMATIONS</w:t>
      </w:r>
    </w:p>
    <w:p w14:paraId="4DBCD588" w14:textId="77777777" w:rsidR="00FD6450" w:rsidRPr="00FD6450" w:rsidRDefault="00FD6450" w:rsidP="00FD6450">
      <w:pPr>
        <w:pStyle w:val="Paragraphedeliste"/>
        <w:spacing w:line="360" w:lineRule="auto"/>
        <w:jc w:val="both"/>
        <w:rPr>
          <w:rFonts w:ascii="Arial Narrow" w:hAnsi="Arial Narrow" w:cs="Arial"/>
          <w:color w:val="0070C0"/>
          <w:sz w:val="24"/>
          <w:szCs w:val="24"/>
          <w:lang w:val="fr-FR"/>
        </w:rPr>
      </w:pPr>
    </w:p>
    <w:p w14:paraId="6058B02D" w14:textId="77777777" w:rsidR="00FD6450" w:rsidRPr="00FD6450" w:rsidRDefault="00FD6450" w:rsidP="00FD6450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="Arial Narrow" w:hAnsi="Arial Narrow" w:cs="Arial"/>
          <w:color w:val="0070C0"/>
          <w:sz w:val="24"/>
          <w:szCs w:val="24"/>
          <w:lang w:val="fr-FR"/>
        </w:rPr>
      </w:pPr>
      <w:r w:rsidRPr="00FD6450">
        <w:rPr>
          <w:rFonts w:ascii="Arial Narrow" w:hAnsi="Arial Narrow" w:cs="Arial"/>
          <w:color w:val="0070C0"/>
          <w:sz w:val="24"/>
          <w:szCs w:val="24"/>
          <w:lang w:val="fr-FR"/>
        </w:rPr>
        <w:t>Nombre de marchés fonctionnels et Variation des coûts des denrées alimentaires</w:t>
      </w:r>
    </w:p>
    <w:p w14:paraId="456B8C28" w14:textId="77777777" w:rsidR="00FD6450" w:rsidRPr="00FD6450" w:rsidRDefault="00FD6450" w:rsidP="00FD6450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="Arial Narrow" w:hAnsi="Arial Narrow" w:cs="Arial"/>
          <w:color w:val="0070C0"/>
          <w:sz w:val="24"/>
          <w:szCs w:val="24"/>
          <w:lang w:val="fr-FR"/>
        </w:rPr>
      </w:pPr>
      <w:r w:rsidRPr="00FD6450">
        <w:rPr>
          <w:rFonts w:ascii="Arial Narrow" w:hAnsi="Arial Narrow" w:cs="Arial"/>
          <w:color w:val="0070C0"/>
          <w:sz w:val="24"/>
          <w:szCs w:val="24"/>
          <w:lang w:val="fr-FR"/>
        </w:rPr>
        <w:t>Identification de 1000ménages dans les deux provinces Kasaï et Kasaï central</w:t>
      </w:r>
    </w:p>
    <w:p w14:paraId="49ECC441" w14:textId="77777777" w:rsidR="00FD6450" w:rsidRPr="00FD6450" w:rsidRDefault="00FD6450" w:rsidP="00FD6450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="Arial Narrow" w:hAnsi="Arial Narrow" w:cs="Arial"/>
          <w:color w:val="0070C0"/>
          <w:sz w:val="24"/>
          <w:szCs w:val="24"/>
          <w:lang w:val="fr-FR"/>
        </w:rPr>
      </w:pPr>
      <w:r w:rsidRPr="00FD6450">
        <w:rPr>
          <w:rFonts w:ascii="Arial Narrow" w:hAnsi="Arial Narrow" w:cs="Arial"/>
          <w:color w:val="0070C0"/>
          <w:sz w:val="24"/>
          <w:szCs w:val="24"/>
          <w:lang w:val="fr-FR"/>
        </w:rPr>
        <w:t xml:space="preserve">Renforcement de capacité de 50volontaires dans les deux provinces </w:t>
      </w:r>
    </w:p>
    <w:p w14:paraId="1B31D6C5" w14:textId="77777777" w:rsidR="00FD6450" w:rsidRPr="00FD6450" w:rsidRDefault="00FD6450" w:rsidP="00FD6450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="Arial Narrow" w:hAnsi="Arial Narrow" w:cs="Arial"/>
          <w:color w:val="0070C0"/>
          <w:sz w:val="24"/>
          <w:szCs w:val="24"/>
          <w:lang w:val="fr-FR"/>
        </w:rPr>
      </w:pPr>
      <w:r w:rsidRPr="00FD6450">
        <w:rPr>
          <w:rFonts w:ascii="Arial Narrow" w:hAnsi="Arial Narrow" w:cs="Arial"/>
          <w:color w:val="0070C0"/>
          <w:sz w:val="24"/>
          <w:szCs w:val="24"/>
          <w:lang w:val="fr-FR"/>
        </w:rPr>
        <w:t>La disponibilité des produits alimentaires sur les marchés à l’endroit des bénéficiaires,</w:t>
      </w:r>
    </w:p>
    <w:p w14:paraId="67B0A398" w14:textId="77777777" w:rsidR="00E11A46" w:rsidRPr="00E11A46" w:rsidRDefault="00E11A46" w:rsidP="00E11A46">
      <w:pPr>
        <w:pStyle w:val="Corpsdetexte"/>
        <w:ind w:right="181"/>
        <w:jc w:val="both"/>
        <w:rPr>
          <w:rFonts w:asciiTheme="minorHAnsi" w:hAnsiTheme="minorHAnsi" w:cstheme="minorHAnsi"/>
          <w:sz w:val="24"/>
          <w:szCs w:val="24"/>
          <w:u w:val="single" w:color="0000FF"/>
          <w:lang w:val="fr-FR"/>
        </w:rPr>
      </w:pPr>
    </w:p>
    <w:p w14:paraId="7E80F174" w14:textId="77777777" w:rsidR="00E11A46" w:rsidRPr="00F52F3D" w:rsidRDefault="00E11A46" w:rsidP="00E11A46">
      <w:pPr>
        <w:pStyle w:val="Corpsdetexte"/>
        <w:ind w:right="181"/>
        <w:jc w:val="both"/>
        <w:rPr>
          <w:rFonts w:asciiTheme="minorHAnsi" w:hAnsiTheme="minorHAnsi" w:cstheme="minorHAnsi"/>
          <w:sz w:val="24"/>
          <w:szCs w:val="24"/>
          <w:u w:val="single" w:color="0000FF"/>
          <w:lang w:val="fr-FR"/>
        </w:rPr>
      </w:pPr>
    </w:p>
    <w:p w14:paraId="33BBFD48" w14:textId="77777777" w:rsidR="00F52F3D" w:rsidRPr="00F52F3D" w:rsidRDefault="00F52F3D">
      <w:pPr>
        <w:rPr>
          <w:lang w:val="fr-FR"/>
        </w:rPr>
      </w:pPr>
    </w:p>
    <w:sectPr w:rsidR="00F52F3D" w:rsidRPr="00F52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EA3"/>
    <w:multiLevelType w:val="hybridMultilevel"/>
    <w:tmpl w:val="4266B126"/>
    <w:lvl w:ilvl="0" w:tplc="2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39EB"/>
    <w:multiLevelType w:val="hybridMultilevel"/>
    <w:tmpl w:val="2D00D16E"/>
    <w:lvl w:ilvl="0" w:tplc="2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557DE"/>
    <w:multiLevelType w:val="hybridMultilevel"/>
    <w:tmpl w:val="CB949DBC"/>
    <w:lvl w:ilvl="0" w:tplc="2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5613A"/>
    <w:multiLevelType w:val="multilevel"/>
    <w:tmpl w:val="C3807B8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FB3288"/>
    <w:multiLevelType w:val="hybridMultilevel"/>
    <w:tmpl w:val="78E21C8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13C360A"/>
    <w:multiLevelType w:val="multilevel"/>
    <w:tmpl w:val="5F6C21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60439A"/>
    <w:multiLevelType w:val="hybridMultilevel"/>
    <w:tmpl w:val="56A4489A"/>
    <w:lvl w:ilvl="0" w:tplc="2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682FD7"/>
    <w:multiLevelType w:val="multilevel"/>
    <w:tmpl w:val="454CF592"/>
    <w:lvl w:ilvl="0">
      <w:start w:val="1"/>
      <w:numFmt w:val="upperRoman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652740F"/>
    <w:multiLevelType w:val="hybridMultilevel"/>
    <w:tmpl w:val="5A66760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9F748C4"/>
    <w:multiLevelType w:val="hybridMultilevel"/>
    <w:tmpl w:val="F4A29A1C"/>
    <w:lvl w:ilvl="0" w:tplc="DC02F74E">
      <w:start w:val="6"/>
      <w:numFmt w:val="lowerLetter"/>
      <w:pStyle w:val="Style1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22A12"/>
    <w:multiLevelType w:val="hybridMultilevel"/>
    <w:tmpl w:val="58287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B0A22"/>
    <w:multiLevelType w:val="hybridMultilevel"/>
    <w:tmpl w:val="792C108A"/>
    <w:lvl w:ilvl="0" w:tplc="9F646D24">
      <w:numFmt w:val="bullet"/>
      <w:lvlText w:val="-"/>
      <w:lvlJc w:val="left"/>
      <w:pPr>
        <w:ind w:left="669" w:hanging="360"/>
      </w:pPr>
      <w:rPr>
        <w:rFonts w:ascii="Calibri" w:eastAsiaTheme="minorHAnsi" w:hAnsi="Calibri" w:cs="Calibri" w:hint="default"/>
        <w:u w:val="none"/>
      </w:rPr>
    </w:lvl>
    <w:lvl w:ilvl="1" w:tplc="2000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12" w15:restartNumberingAfterBreak="0">
    <w:nsid w:val="6AF21EE4"/>
    <w:multiLevelType w:val="multilevel"/>
    <w:tmpl w:val="02861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39859A2"/>
    <w:multiLevelType w:val="singleLevel"/>
    <w:tmpl w:val="85C08E7E"/>
    <w:lvl w:ilvl="0">
      <w:start w:val="1"/>
      <w:numFmt w:val="decimal"/>
      <w:pStyle w:val="titre03"/>
      <w:lvlText w:val="%1."/>
      <w:legacy w:legacy="1" w:legacySpace="0" w:legacyIndent="567"/>
      <w:lvlJc w:val="left"/>
      <w:pPr>
        <w:ind w:left="567" w:hanging="567"/>
      </w:pPr>
      <w:rPr>
        <w:rFonts w:ascii="Arial" w:hAnsi="Arial" w:cs="Arial" w:hint="default"/>
        <w:sz w:val="24"/>
      </w:rPr>
    </w:lvl>
  </w:abstractNum>
  <w:abstractNum w:abstractNumId="14" w15:restartNumberingAfterBreak="0">
    <w:nsid w:val="7AA0136D"/>
    <w:multiLevelType w:val="multilevel"/>
    <w:tmpl w:val="C3807B8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E6E1E5D"/>
    <w:multiLevelType w:val="hybridMultilevel"/>
    <w:tmpl w:val="12D85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17963">
    <w:abstractNumId w:val="11"/>
  </w:num>
  <w:num w:numId="2" w16cid:durableId="891429863">
    <w:abstractNumId w:val="7"/>
  </w:num>
  <w:num w:numId="3" w16cid:durableId="337663523">
    <w:abstractNumId w:val="9"/>
  </w:num>
  <w:num w:numId="4" w16cid:durableId="861940029">
    <w:abstractNumId w:val="4"/>
  </w:num>
  <w:num w:numId="5" w16cid:durableId="1424260228">
    <w:abstractNumId w:val="8"/>
  </w:num>
  <w:num w:numId="6" w16cid:durableId="587466286">
    <w:abstractNumId w:val="13"/>
  </w:num>
  <w:num w:numId="7" w16cid:durableId="1353726403">
    <w:abstractNumId w:val="10"/>
  </w:num>
  <w:num w:numId="8" w16cid:durableId="798719378">
    <w:abstractNumId w:val="15"/>
  </w:num>
  <w:num w:numId="9" w16cid:durableId="638613136">
    <w:abstractNumId w:val="12"/>
  </w:num>
  <w:num w:numId="10" w16cid:durableId="1171600747">
    <w:abstractNumId w:val="5"/>
  </w:num>
  <w:num w:numId="11" w16cid:durableId="125507651">
    <w:abstractNumId w:val="2"/>
  </w:num>
  <w:num w:numId="12" w16cid:durableId="2016372656">
    <w:abstractNumId w:val="1"/>
  </w:num>
  <w:num w:numId="13" w16cid:durableId="217472705">
    <w:abstractNumId w:val="6"/>
  </w:num>
  <w:num w:numId="14" w16cid:durableId="1653829704">
    <w:abstractNumId w:val="14"/>
  </w:num>
  <w:num w:numId="15" w16cid:durableId="997422646">
    <w:abstractNumId w:val="3"/>
  </w:num>
  <w:num w:numId="16" w16cid:durableId="88591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3D"/>
    <w:rsid w:val="000C7CF1"/>
    <w:rsid w:val="00217336"/>
    <w:rsid w:val="0086528D"/>
    <w:rsid w:val="009D2687"/>
    <w:rsid w:val="00A32E6C"/>
    <w:rsid w:val="00AC7A30"/>
    <w:rsid w:val="00D05856"/>
    <w:rsid w:val="00D83254"/>
    <w:rsid w:val="00E111A8"/>
    <w:rsid w:val="00E11A46"/>
    <w:rsid w:val="00F52F3D"/>
    <w:rsid w:val="00FB182B"/>
    <w:rsid w:val="00FD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135A"/>
  <w15:chartTrackingRefBased/>
  <w15:docId w15:val="{FE325AA2-5D92-40D0-A21E-043F70F2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F3D"/>
    <w:pPr>
      <w:spacing w:after="0" w:line="240" w:lineRule="auto"/>
    </w:pPr>
    <w:rPr>
      <w:rFonts w:ascii="Times New Roman" w:hAnsi="Times New Roman" w:cs="Times New Roman"/>
      <w:kern w:val="0"/>
      <w:lang w:val="en-US"/>
      <w14:ligatures w14:val="none"/>
    </w:rPr>
  </w:style>
  <w:style w:type="paragraph" w:styleId="Titre1">
    <w:name w:val="heading 1"/>
    <w:aliases w:val=" 1, Main Heading"/>
    <w:basedOn w:val="Normal"/>
    <w:next w:val="Normal"/>
    <w:link w:val="Titre1Car"/>
    <w:qFormat/>
    <w:rsid w:val="00E11A46"/>
    <w:pPr>
      <w:keepNext/>
      <w:numPr>
        <w:numId w:val="2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paragraph" w:styleId="Titre2">
    <w:name w:val="heading 2"/>
    <w:aliases w:val="Paranum,Titre 22"/>
    <w:basedOn w:val="Normal"/>
    <w:next w:val="Normal"/>
    <w:link w:val="Titre2Car"/>
    <w:qFormat/>
    <w:rsid w:val="00E11A46"/>
    <w:pPr>
      <w:keepNext/>
      <w:numPr>
        <w:ilvl w:val="1"/>
        <w:numId w:val="2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paragraph" w:styleId="Titre3">
    <w:name w:val="heading 3"/>
    <w:aliases w:val="Centered, Centered"/>
    <w:basedOn w:val="Normal"/>
    <w:next w:val="Normal"/>
    <w:link w:val="Titre3Car"/>
    <w:qFormat/>
    <w:rsid w:val="00E11A46"/>
    <w:pPr>
      <w:keepNext/>
      <w:numPr>
        <w:ilvl w:val="2"/>
        <w:numId w:val="2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paragraph" w:styleId="Titre4">
    <w:name w:val="heading 4"/>
    <w:aliases w:val="Centred,Cen."/>
    <w:basedOn w:val="Normal"/>
    <w:next w:val="Normal"/>
    <w:link w:val="Titre4Car"/>
    <w:qFormat/>
    <w:rsid w:val="00E11A46"/>
    <w:pPr>
      <w:keepNext/>
      <w:numPr>
        <w:ilvl w:val="3"/>
        <w:numId w:val="2"/>
      </w:numPr>
      <w:spacing w:before="240" w:after="60"/>
      <w:outlineLvl w:val="3"/>
    </w:pPr>
    <w:rPr>
      <w:rFonts w:eastAsia="Times New Roman"/>
      <w:b/>
      <w:bCs/>
      <w:sz w:val="28"/>
      <w:szCs w:val="28"/>
      <w:lang w:val="fr-FR" w:eastAsia="fr-FR"/>
    </w:rPr>
  </w:style>
  <w:style w:type="paragraph" w:styleId="Titre5">
    <w:name w:val="heading 5"/>
    <w:aliases w:val="Side, Side"/>
    <w:basedOn w:val="Normal"/>
    <w:next w:val="Normal"/>
    <w:link w:val="Titre5Car"/>
    <w:qFormat/>
    <w:rsid w:val="00E11A46"/>
    <w:pPr>
      <w:numPr>
        <w:ilvl w:val="4"/>
        <w:numId w:val="2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fr-FR" w:eastAsia="fr-FR"/>
    </w:rPr>
  </w:style>
  <w:style w:type="paragraph" w:styleId="Titre6">
    <w:name w:val="heading 6"/>
    <w:aliases w:val="~Heading 6"/>
    <w:basedOn w:val="Normal"/>
    <w:next w:val="Normal"/>
    <w:link w:val="Titre6Car"/>
    <w:qFormat/>
    <w:rsid w:val="00E11A46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  <w:lang w:val="fr-FR" w:eastAsia="fr-FR"/>
    </w:rPr>
  </w:style>
  <w:style w:type="paragraph" w:styleId="Titre7">
    <w:name w:val="heading 7"/>
    <w:basedOn w:val="Normal"/>
    <w:next w:val="Normal"/>
    <w:link w:val="Titre7Car"/>
    <w:qFormat/>
    <w:rsid w:val="00E11A46"/>
    <w:pPr>
      <w:numPr>
        <w:ilvl w:val="6"/>
        <w:numId w:val="2"/>
      </w:numPr>
      <w:spacing w:before="240" w:after="60"/>
      <w:outlineLvl w:val="6"/>
    </w:pPr>
    <w:rPr>
      <w:rFonts w:eastAsia="Times New Roman"/>
      <w:sz w:val="24"/>
      <w:szCs w:val="24"/>
      <w:lang w:val="fr-FR" w:eastAsia="fr-FR"/>
    </w:rPr>
  </w:style>
  <w:style w:type="paragraph" w:styleId="Titre8">
    <w:name w:val="heading 8"/>
    <w:basedOn w:val="Normal"/>
    <w:next w:val="Normal"/>
    <w:link w:val="Titre8Car"/>
    <w:qFormat/>
    <w:rsid w:val="00E11A46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sz w:val="24"/>
      <w:szCs w:val="24"/>
      <w:lang w:val="fr-FR" w:eastAsia="fr-FR"/>
    </w:rPr>
  </w:style>
  <w:style w:type="paragraph" w:styleId="Titre9">
    <w:name w:val="heading 9"/>
    <w:aliases w:val="Heading 9-paranum"/>
    <w:basedOn w:val="Normal"/>
    <w:next w:val="Normal"/>
    <w:link w:val="Titre9Car"/>
    <w:qFormat/>
    <w:rsid w:val="00E11A46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F52F3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52F3D"/>
    <w:rPr>
      <w:rFonts w:ascii="Times New Roman" w:hAnsi="Times New Roman" w:cs="Times New Roman"/>
      <w:kern w:val="0"/>
      <w:lang w:val="en-US"/>
      <w14:ligatures w14:val="none"/>
    </w:rPr>
  </w:style>
  <w:style w:type="character" w:customStyle="1" w:styleId="Titre1Car">
    <w:name w:val="Titre 1 Car"/>
    <w:basedOn w:val="Policepardfaut"/>
    <w:link w:val="Titre1"/>
    <w:rsid w:val="00E11A46"/>
    <w:rPr>
      <w:rFonts w:ascii="Arial" w:eastAsia="Times New Roman" w:hAnsi="Arial" w:cs="Arial"/>
      <w:b/>
      <w:bCs/>
      <w:kern w:val="32"/>
      <w:sz w:val="32"/>
      <w:szCs w:val="32"/>
      <w:lang w:val="fr-FR" w:eastAsia="fr-FR"/>
      <w14:ligatures w14:val="none"/>
    </w:rPr>
  </w:style>
  <w:style w:type="character" w:customStyle="1" w:styleId="Titre2Car">
    <w:name w:val="Titre 2 Car"/>
    <w:basedOn w:val="Policepardfaut"/>
    <w:link w:val="Titre2"/>
    <w:rsid w:val="00E11A46"/>
    <w:rPr>
      <w:rFonts w:ascii="Arial" w:eastAsia="Times New Roman" w:hAnsi="Arial" w:cs="Arial"/>
      <w:b/>
      <w:bCs/>
      <w:i/>
      <w:iCs/>
      <w:kern w:val="0"/>
      <w:sz w:val="28"/>
      <w:szCs w:val="28"/>
      <w:lang w:val="fr-FR" w:eastAsia="fr-FR"/>
      <w14:ligatures w14:val="none"/>
    </w:rPr>
  </w:style>
  <w:style w:type="character" w:customStyle="1" w:styleId="Titre3Car">
    <w:name w:val="Titre 3 Car"/>
    <w:aliases w:val="Centered Car, Centered Car"/>
    <w:basedOn w:val="Policepardfaut"/>
    <w:link w:val="Titre3"/>
    <w:rsid w:val="00E11A46"/>
    <w:rPr>
      <w:rFonts w:ascii="Arial" w:eastAsia="Times New Roman" w:hAnsi="Arial" w:cs="Arial"/>
      <w:b/>
      <w:bCs/>
      <w:kern w:val="0"/>
      <w:sz w:val="26"/>
      <w:szCs w:val="26"/>
      <w:lang w:val="fr-FR" w:eastAsia="fr-FR"/>
      <w14:ligatures w14:val="none"/>
    </w:rPr>
  </w:style>
  <w:style w:type="character" w:customStyle="1" w:styleId="Titre4Car">
    <w:name w:val="Titre 4 Car"/>
    <w:basedOn w:val="Policepardfaut"/>
    <w:link w:val="Titre4"/>
    <w:rsid w:val="00E11A46"/>
    <w:rPr>
      <w:rFonts w:ascii="Times New Roman" w:eastAsia="Times New Roman" w:hAnsi="Times New Roman" w:cs="Times New Roman"/>
      <w:b/>
      <w:bCs/>
      <w:kern w:val="0"/>
      <w:sz w:val="28"/>
      <w:szCs w:val="28"/>
      <w:lang w:val="fr-FR" w:eastAsia="fr-FR"/>
      <w14:ligatures w14:val="none"/>
    </w:rPr>
  </w:style>
  <w:style w:type="character" w:customStyle="1" w:styleId="Titre5Car">
    <w:name w:val="Titre 5 Car"/>
    <w:basedOn w:val="Policepardfaut"/>
    <w:link w:val="Titre5"/>
    <w:rsid w:val="00E11A46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val="fr-FR" w:eastAsia="fr-FR"/>
      <w14:ligatures w14:val="none"/>
    </w:rPr>
  </w:style>
  <w:style w:type="character" w:customStyle="1" w:styleId="Titre6Car">
    <w:name w:val="Titre 6 Car"/>
    <w:basedOn w:val="Policepardfaut"/>
    <w:link w:val="Titre6"/>
    <w:rsid w:val="00E11A46"/>
    <w:rPr>
      <w:rFonts w:ascii="Times New Roman" w:eastAsia="Times New Roman" w:hAnsi="Times New Roman" w:cs="Times New Roman"/>
      <w:b/>
      <w:bCs/>
      <w:kern w:val="0"/>
      <w:lang w:val="fr-FR" w:eastAsia="fr-FR"/>
      <w14:ligatures w14:val="none"/>
    </w:rPr>
  </w:style>
  <w:style w:type="character" w:customStyle="1" w:styleId="Titre7Car">
    <w:name w:val="Titre 7 Car"/>
    <w:basedOn w:val="Policepardfaut"/>
    <w:link w:val="Titre7"/>
    <w:rsid w:val="00E11A46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character" w:customStyle="1" w:styleId="Titre8Car">
    <w:name w:val="Titre 8 Car"/>
    <w:basedOn w:val="Policepardfaut"/>
    <w:link w:val="Titre8"/>
    <w:rsid w:val="00E11A46"/>
    <w:rPr>
      <w:rFonts w:ascii="Times New Roman" w:eastAsia="Times New Roman" w:hAnsi="Times New Roman" w:cs="Times New Roman"/>
      <w:i/>
      <w:iCs/>
      <w:kern w:val="0"/>
      <w:sz w:val="24"/>
      <w:szCs w:val="24"/>
      <w:lang w:val="fr-FR" w:eastAsia="fr-FR"/>
      <w14:ligatures w14:val="none"/>
    </w:rPr>
  </w:style>
  <w:style w:type="character" w:customStyle="1" w:styleId="Titre9Car">
    <w:name w:val="Titre 9 Car"/>
    <w:basedOn w:val="Policepardfaut"/>
    <w:link w:val="Titre9"/>
    <w:rsid w:val="00E11A46"/>
    <w:rPr>
      <w:rFonts w:ascii="Arial" w:eastAsia="Times New Roman" w:hAnsi="Arial" w:cs="Arial"/>
      <w:kern w:val="0"/>
      <w:lang w:val="fr-FR"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E11A46"/>
    <w:pPr>
      <w:ind w:left="720"/>
      <w:contextualSpacing/>
    </w:pPr>
    <w:rPr>
      <w:rFonts w:eastAsia="Batang"/>
      <w:sz w:val="20"/>
      <w:szCs w:val="20"/>
      <w:lang w:eastAsia="fr-FR"/>
    </w:rPr>
  </w:style>
  <w:style w:type="paragraph" w:customStyle="1" w:styleId="Style1">
    <w:name w:val="Style1"/>
    <w:basedOn w:val="Titre2"/>
    <w:link w:val="Style1Char"/>
    <w:qFormat/>
    <w:rsid w:val="00E11A46"/>
    <w:pPr>
      <w:numPr>
        <w:ilvl w:val="0"/>
        <w:numId w:val="3"/>
      </w:numPr>
      <w:spacing w:before="0" w:after="0"/>
    </w:pPr>
    <w:rPr>
      <w:rFonts w:ascii="Comic Sans MS" w:hAnsi="Comic Sans MS" w:cs="Times New Roman"/>
      <w:b w:val="0"/>
      <w:i w:val="0"/>
      <w:sz w:val="20"/>
      <w:szCs w:val="18"/>
      <w:u w:val="single"/>
      <w:lang w:eastAsia="x-none"/>
    </w:rPr>
  </w:style>
  <w:style w:type="character" w:customStyle="1" w:styleId="Style1Char">
    <w:name w:val="Style1 Char"/>
    <w:link w:val="Style1"/>
    <w:rsid w:val="00E11A46"/>
    <w:rPr>
      <w:rFonts w:ascii="Comic Sans MS" w:eastAsia="Times New Roman" w:hAnsi="Comic Sans MS" w:cs="Times New Roman"/>
      <w:bCs/>
      <w:iCs/>
      <w:kern w:val="0"/>
      <w:sz w:val="20"/>
      <w:szCs w:val="18"/>
      <w:u w:val="single"/>
      <w:lang w:val="fr-FR" w:eastAsia="x-none"/>
      <w14:ligatures w14:val="none"/>
    </w:rPr>
  </w:style>
  <w:style w:type="paragraph" w:customStyle="1" w:styleId="titre03">
    <w:name w:val="titre 03"/>
    <w:basedOn w:val="Titre3"/>
    <w:rsid w:val="00E11A46"/>
    <w:pPr>
      <w:numPr>
        <w:ilvl w:val="0"/>
        <w:numId w:val="6"/>
      </w:numPr>
      <w:tabs>
        <w:tab w:val="num" w:pos="1260"/>
      </w:tabs>
      <w:ind w:left="1260"/>
    </w:pPr>
    <w:rPr>
      <w:rFonts w:ascii="Times New Roman" w:hAnsi="Times New Roman" w:cs="Times New Roman"/>
      <w:color w:val="00800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ocha.org/democratic-republic-congo-drc/about-ocha-dr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10</vt:i4>
      </vt:variant>
    </vt:vector>
  </HeadingPairs>
  <TitlesOfParts>
    <vt:vector size="11" baseType="lpstr">
      <vt:lpstr/>
      <vt:lpstr>        BUT ET OBJECTIFS  </vt:lpstr>
      <vt:lpstr>        RESULTATS ATTENDUS DDES FORMATIONS</vt:lpstr>
      <vt:lpstr>        METHODOLOGIE DE COLLECTE, OUTILS DE COLLECTE DES DONNEES, TRAITEMENT DES DONNEES</vt:lpstr>
      <vt:lpstr>    Approche méthodologique</vt:lpstr>
      <vt:lpstr>    </vt:lpstr>
      <vt:lpstr>    Méthodes et outils de collecte des données</vt:lpstr>
      <vt:lpstr>    </vt:lpstr>
      <vt:lpstr>        La collecte des données sera effectuée par les volontaires de la CRC. Avant leur</vt:lpstr>
      <vt:lpstr>    Saisie des données et analyse des résultats :</vt:lpstr>
      <vt:lpstr>    Principaux Indicateurs : </vt:lpstr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Léopold GIRUKWAYO</dc:creator>
  <cp:keywords/>
  <dc:description/>
  <cp:lastModifiedBy>Léopold GIRUKWAYO</cp:lastModifiedBy>
  <cp:revision>6</cp:revision>
  <dcterms:created xsi:type="dcterms:W3CDTF">2022-10-09T11:59:00Z</dcterms:created>
  <dcterms:modified xsi:type="dcterms:W3CDTF">2022-10-09T12:03:00Z</dcterms:modified>
</cp:coreProperties>
</file>